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ind w:firstLine="0"/>
        <w:jc w:val="both"/>
        <w:rPr>
          <w:rFonts w:hint="default" w:ascii="黑体" w:hAnsi="黑体" w:eastAsia="黑体" w:cs="Mongolian Baiti"/>
          <w:sz w:val="32"/>
          <w:szCs w:val="32"/>
          <w:lang w:val="en-US" w:eastAsia="zh-CN" w:bidi="ar-SA"/>
        </w:rPr>
      </w:pPr>
      <w:r>
        <w:rPr>
          <w:rFonts w:hint="eastAsia" w:ascii="黑体" w:hAnsi="黑体" w:eastAsia="黑体" w:cs="Mongolian Baiti"/>
          <w:sz w:val="32"/>
          <w:szCs w:val="32"/>
          <w:lang w:val="en-US" w:eastAsia="zh-CN" w:bidi="ar-SA"/>
        </w:rPr>
        <w:t>附件2</w:t>
      </w:r>
    </w:p>
    <w:p>
      <w:pPr>
        <w:snapToGrid w:val="0"/>
        <w:spacing w:line="600" w:lineRule="exact"/>
        <w:ind w:firstLine="0"/>
        <w:jc w:val="center"/>
        <w:rPr>
          <w:rFonts w:hint="eastAsia" w:ascii="黑体" w:hAnsi="黑体" w:eastAsia="黑体" w:cs="Mongolian Baiti"/>
          <w:sz w:val="32"/>
          <w:szCs w:val="32"/>
          <w:lang w:val="en-US" w:eastAsia="zh-CN" w:bidi="ar-SA"/>
        </w:rPr>
      </w:pPr>
    </w:p>
    <w:p>
      <w:pPr>
        <w:snapToGrid w:val="0"/>
        <w:spacing w:line="600" w:lineRule="exact"/>
        <w:ind w:firstLine="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《水利工程建设项目招标投标管理规定》</w:t>
      </w:r>
      <w:r>
        <w:rPr>
          <w:rFonts w:hint="eastAsia" w:ascii="方正小标宋简体" w:hAnsi="方正小标宋简体" w:eastAsia="方正小标宋简体" w:cs="方正小标宋简体"/>
          <w:sz w:val="44"/>
          <w:szCs w:val="44"/>
        </w:rPr>
        <w:t>（</w:t>
      </w:r>
      <w:r>
        <w:rPr>
          <w:rFonts w:hint="eastAsia" w:ascii="方正小标宋简体" w:hAnsi="方正小标宋简体" w:eastAsia="方正小标宋简体" w:cs="方正小标宋简体"/>
          <w:sz w:val="44"/>
          <w:szCs w:val="44"/>
          <w:lang w:eastAsia="zh-CN"/>
        </w:rPr>
        <w:t>修订</w:t>
      </w:r>
      <w:r>
        <w:rPr>
          <w:rFonts w:hint="eastAsia" w:ascii="方正小标宋简体" w:hAnsi="方正小标宋简体" w:eastAsia="方正小标宋简体" w:cs="方正小标宋简体"/>
          <w:sz w:val="44"/>
          <w:szCs w:val="44"/>
        </w:rPr>
        <w:t>征求意见稿）修订说明</w:t>
      </w:r>
      <w:bookmarkStart w:id="0" w:name="_GoBack"/>
      <w:bookmarkEnd w:id="0"/>
    </w:p>
    <w:p>
      <w:pPr>
        <w:snapToGrid w:val="0"/>
        <w:spacing w:line="600" w:lineRule="exact"/>
        <w:ind w:firstLine="0"/>
        <w:jc w:val="center"/>
        <w:rPr>
          <w:rFonts w:hint="eastAsia" w:ascii="方正小标宋简体" w:hAnsi="方正小标宋简体" w:eastAsia="方正小标宋简体" w:cs="方正小标宋简体"/>
          <w:sz w:val="44"/>
          <w:szCs w:val="44"/>
        </w:rPr>
      </w:pPr>
    </w:p>
    <w:p>
      <w:pPr>
        <w:snapToGrid w:val="0"/>
        <w:spacing w:line="600" w:lineRule="exact"/>
        <w:ind w:firstLine="640" w:firstLineChars="200"/>
        <w:rPr>
          <w:rFonts w:hint="eastAsia" w:ascii="方正黑体_GBK" w:hAnsi="方正黑体_GBK" w:eastAsia="方正黑体_GBK" w:cs="方正黑体_GBK"/>
          <w:strike w:val="0"/>
          <w:sz w:val="32"/>
          <w:szCs w:val="32"/>
        </w:rPr>
      </w:pPr>
      <w:r>
        <w:rPr>
          <w:rFonts w:hint="eastAsia" w:ascii="方正黑体_GBK" w:hAnsi="方正黑体_GBK" w:eastAsia="方正黑体_GBK" w:cs="方正黑体_GBK"/>
          <w:sz w:val="32"/>
          <w:szCs w:val="32"/>
          <w:lang w:eastAsia="zh-CN"/>
        </w:rPr>
        <w:t>一</w:t>
      </w:r>
      <w:r>
        <w:rPr>
          <w:rFonts w:hint="eastAsia" w:ascii="方正黑体_GBK" w:hAnsi="方正黑体_GBK" w:eastAsia="方正黑体_GBK" w:cs="方正黑体_GBK"/>
          <w:sz w:val="32"/>
          <w:szCs w:val="32"/>
        </w:rPr>
        <w:t>、修订</w:t>
      </w:r>
      <w:r>
        <w:rPr>
          <w:rFonts w:hint="eastAsia" w:ascii="方正黑体_GBK" w:hAnsi="方正黑体_GBK" w:eastAsia="方正黑体_GBK" w:cs="方正黑体_GBK"/>
          <w:sz w:val="32"/>
          <w:szCs w:val="32"/>
          <w:lang w:eastAsia="zh-CN"/>
        </w:rPr>
        <w:t>的</w:t>
      </w:r>
      <w:r>
        <w:rPr>
          <w:rFonts w:hint="eastAsia" w:ascii="方正黑体_GBK" w:hAnsi="方正黑体_GBK" w:eastAsia="方正黑体_GBK" w:cs="方正黑体_GBK"/>
          <w:sz w:val="32"/>
          <w:szCs w:val="32"/>
        </w:rPr>
        <w:t>必要性</w:t>
      </w:r>
    </w:p>
    <w:p>
      <w:pPr>
        <w:snapToGrid w:val="0"/>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《水利工程建设项目招标投标管理规定》（水利部令第14号，以下简称《规定》）</w:t>
      </w:r>
      <w:r>
        <w:rPr>
          <w:rFonts w:hint="eastAsia" w:ascii="仿宋_GB2312" w:hAnsi="仿宋_GB2312" w:eastAsia="仿宋_GB2312" w:cs="仿宋_GB2312"/>
          <w:sz w:val="32"/>
          <w:szCs w:val="32"/>
          <w:lang w:val="en-US" w:eastAsia="zh-CN"/>
        </w:rPr>
        <w:t>是《招标投标法》在水利工程建设项目招标投标方面重要的配套制度,自2001年颁布实施以来,对规范水利工程建设项目招标投标活动，推动建立公平竞争的水利建设市场，保障水利工程建设有序实施发挥了积极的作用。</w:t>
      </w:r>
    </w:p>
    <w:p>
      <w:pPr>
        <w:widowControl/>
        <w:snapToGrid/>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近年来工程建设项目招标投标领域体制机制发生深刻变化，</w:t>
      </w:r>
      <w:r>
        <w:rPr>
          <w:rFonts w:hint="eastAsia" w:ascii="仿宋_GB2312" w:hAnsi="仿宋_GB2312" w:eastAsia="仿宋_GB2312" w:cs="仿宋_GB2312"/>
          <w:sz w:val="32"/>
          <w:szCs w:val="32"/>
        </w:rPr>
        <w:t>《国务院办公厅关于创新完善体制机制推动招标投标市场规范健康发展的意见》</w:t>
      </w:r>
      <w:r>
        <w:rPr>
          <w:rFonts w:hint="eastAsia" w:ascii="仿宋_GB2312" w:hAnsi="仿宋_GB2312" w:eastAsia="仿宋_GB2312" w:cs="仿宋_GB2312"/>
          <w:sz w:val="32"/>
          <w:szCs w:val="32"/>
          <w:lang w:val="en-US" w:eastAsia="zh-CN"/>
        </w:rPr>
        <w:t>《国家发展改革委等部门关于严格执行招标投标法规制度进一步规范招标投标主体行为的若干意见》等陆续发布，电子招标评标深入推进，各地积极探索远程异地评标、“评定分离”等模式，各级水行政主管部门</w:t>
      </w:r>
      <w:r>
        <w:rPr>
          <w:rFonts w:hint="eastAsia" w:ascii="仿宋_GB2312" w:hAnsi="仿宋_GB2312" w:eastAsia="仿宋_GB2312" w:cs="仿宋_GB2312"/>
          <w:i w:val="0"/>
          <w:caps w:val="0"/>
          <w:color w:val="auto"/>
          <w:spacing w:val="0"/>
          <w:kern w:val="0"/>
          <w:sz w:val="32"/>
          <w:szCs w:val="32"/>
          <w:shd w:val="clear" w:fill="auto"/>
          <w:lang w:val="en-US" w:eastAsia="zh-CN" w:bidi="ar"/>
        </w:rPr>
        <w:t>全力推动水利基础设施建设，水利建设</w:t>
      </w:r>
      <w:r>
        <w:rPr>
          <w:rFonts w:hint="eastAsia" w:ascii="仿宋_GB2312" w:hAnsi="仿宋_GB2312" w:eastAsia="仿宋_GB2312" w:cs="仿宋_GB2312"/>
          <w:i w:val="0"/>
          <w:caps w:val="0"/>
          <w:spacing w:val="0"/>
          <w:kern w:val="0"/>
          <w:sz w:val="32"/>
          <w:szCs w:val="32"/>
          <w:shd w:val="clear"/>
          <w:lang w:val="en-US" w:eastAsia="zh-CN" w:bidi="ar"/>
        </w:rPr>
        <w:t>投资屡创新高。同时，</w:t>
      </w:r>
      <w:r>
        <w:rPr>
          <w:rFonts w:hint="eastAsia" w:ascii="仿宋_GB2312" w:hAnsi="仿宋_GB2312" w:eastAsia="仿宋_GB2312" w:cs="仿宋_GB2312"/>
          <w:i w:val="0"/>
          <w:caps w:val="0"/>
          <w:color w:val="auto"/>
          <w:spacing w:val="0"/>
          <w:kern w:val="0"/>
          <w:sz w:val="32"/>
          <w:szCs w:val="32"/>
          <w:lang w:val="en-US" w:eastAsia="zh-CN" w:bidi="ar"/>
        </w:rPr>
        <w:t>招标投标市场还存在不少突出问题，招标人主体责任落实不到位，各类不合理限制和隐性壁垒尚未完全消除，规避招标、围标串标、有关部门及领导干部插手干预等违法行为仍然易发高发，招标代理服务水平参差不齐，一些评标专家不公正、不专业，导致部分项目中标结果不符合实际需求或者实施效果不佳，制约了招标投标制度竞争择优功能的发挥。</w:t>
      </w:r>
      <w:r>
        <w:rPr>
          <w:rFonts w:hint="eastAsia" w:ascii="仿宋_GB2312" w:hAnsi="仿宋_GB2312" w:eastAsia="仿宋_GB2312" w:cs="仿宋_GB2312"/>
          <w:sz w:val="32"/>
          <w:szCs w:val="32"/>
          <w:lang w:val="en-US" w:eastAsia="zh-CN"/>
        </w:rPr>
        <w:t>为</w:t>
      </w:r>
      <w:r>
        <w:rPr>
          <w:rFonts w:hint="eastAsia" w:ascii="仿宋_GB2312" w:hAnsi="仿宋_GB2312" w:eastAsia="仿宋_GB2312" w:cs="仿宋_GB2312"/>
          <w:i w:val="0"/>
          <w:caps w:val="0"/>
          <w:color w:val="auto"/>
          <w:spacing w:val="0"/>
          <w:kern w:val="0"/>
          <w:sz w:val="32"/>
          <w:szCs w:val="32"/>
          <w:lang w:val="en-US" w:eastAsia="zh-CN" w:bidi="ar"/>
        </w:rPr>
        <w:t>进一步规范招标投标各方主体行为，严格执行招标投标法规制度，助力大规模水利基础设施建设，加快构建全国统一大市场，修订《规定》是十分必要的</w:t>
      </w:r>
      <w:r>
        <w:rPr>
          <w:rFonts w:hint="eastAsia" w:ascii="仿宋_GB2312" w:hAnsi="仿宋_GB2312" w:eastAsia="仿宋_GB2312" w:cs="仿宋_GB2312"/>
          <w:sz w:val="32"/>
          <w:szCs w:val="32"/>
          <w:lang w:val="en-US" w:eastAsia="zh-CN"/>
        </w:rPr>
        <w:t>。</w:t>
      </w:r>
    </w:p>
    <w:p>
      <w:pPr>
        <w:snapToGrid w:val="0"/>
        <w:spacing w:line="600" w:lineRule="exact"/>
        <w:ind w:firstLine="640" w:firstLineChars="20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eastAsia="zh-CN"/>
        </w:rPr>
        <w:t>二</w:t>
      </w:r>
      <w:r>
        <w:rPr>
          <w:rFonts w:hint="eastAsia" w:ascii="方正黑体_GBK" w:hAnsi="方正黑体_GBK" w:eastAsia="方正黑体_GBK" w:cs="方正黑体_GBK"/>
          <w:sz w:val="32"/>
          <w:szCs w:val="32"/>
        </w:rPr>
        <w:t>、主要修订内容</w:t>
      </w:r>
    </w:p>
    <w:p>
      <w:pPr>
        <w:snapToGri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《征求意见稿》在原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规定</w:t>
      </w:r>
      <w:r>
        <w:rPr>
          <w:rFonts w:hint="eastAsia" w:ascii="仿宋_GB2312" w:hAnsi="仿宋_GB2312" w:eastAsia="仿宋_GB2312" w:cs="仿宋_GB2312"/>
          <w:sz w:val="32"/>
          <w:szCs w:val="32"/>
          <w:lang w:eastAsia="zh-CN"/>
        </w:rPr>
        <w:t>》基础上保留</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条、删除</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条、修改</w:t>
      </w:r>
      <w:r>
        <w:rPr>
          <w:rFonts w:hint="eastAsia" w:ascii="仿宋_GB2312" w:hAnsi="仿宋_GB2312" w:eastAsia="仿宋_GB2312" w:cs="仿宋_GB2312"/>
          <w:sz w:val="32"/>
          <w:szCs w:val="32"/>
          <w:lang w:val="en-US" w:eastAsia="zh-CN"/>
        </w:rPr>
        <w:t>43</w:t>
      </w:r>
      <w:r>
        <w:rPr>
          <w:rFonts w:hint="eastAsia" w:ascii="仿宋_GB2312" w:hAnsi="仿宋_GB2312" w:eastAsia="仿宋_GB2312" w:cs="仿宋_GB2312"/>
          <w:sz w:val="32"/>
          <w:szCs w:val="32"/>
        </w:rPr>
        <w:t>条、增加</w:t>
      </w:r>
      <w:r>
        <w:rPr>
          <w:rFonts w:hint="eastAsia" w:ascii="仿宋_GB2312" w:hAnsi="仿宋_GB2312" w:eastAsia="仿宋_GB2312" w:cs="仿宋_GB2312"/>
          <w:sz w:val="32"/>
          <w:szCs w:val="32"/>
          <w:lang w:val="en-US" w:eastAsia="zh-CN"/>
        </w:rPr>
        <w:t>19</w:t>
      </w:r>
      <w:r>
        <w:rPr>
          <w:rFonts w:hint="eastAsia" w:ascii="仿宋_GB2312" w:hAnsi="仿宋_GB2312" w:eastAsia="仿宋_GB2312" w:cs="仿宋_GB2312"/>
          <w:sz w:val="32"/>
          <w:szCs w:val="32"/>
        </w:rPr>
        <w:t>条</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highlight w:val="none"/>
          <w:lang w:val="en-US" w:eastAsia="zh-CN"/>
        </w:rPr>
        <w:t>增加</w:t>
      </w:r>
      <w:r>
        <w:rPr>
          <w:rFonts w:hint="eastAsia" w:ascii="仿宋_GB2312" w:hAnsi="仿宋_GB2312" w:eastAsia="仿宋_GB2312" w:cs="仿宋_GB2312"/>
          <w:sz w:val="32"/>
          <w:szCs w:val="32"/>
          <w:highlight w:val="none"/>
        </w:rPr>
        <w:t>第</w:t>
      </w:r>
      <w:r>
        <w:rPr>
          <w:rFonts w:hint="eastAsia" w:ascii="仿宋_GB2312" w:hAnsi="仿宋_GB2312" w:eastAsia="仿宋_GB2312" w:cs="仿宋_GB2312"/>
          <w:sz w:val="32"/>
          <w:szCs w:val="32"/>
          <w:highlight w:val="none"/>
          <w:lang w:eastAsia="zh-CN"/>
        </w:rPr>
        <w:t>六</w:t>
      </w:r>
      <w:r>
        <w:rPr>
          <w:rFonts w:hint="eastAsia" w:ascii="仿宋_GB2312" w:hAnsi="仿宋_GB2312" w:eastAsia="仿宋_GB2312" w:cs="仿宋_GB2312"/>
          <w:sz w:val="32"/>
          <w:szCs w:val="32"/>
          <w:highlight w:val="none"/>
        </w:rPr>
        <w:t>章“履约管理”</w:t>
      </w:r>
      <w:r>
        <w:rPr>
          <w:rFonts w:hint="eastAsia" w:ascii="仿宋_GB2312" w:hAnsi="仿宋_GB2312" w:eastAsia="仿宋_GB2312" w:cs="仿宋_GB2312"/>
          <w:sz w:val="32"/>
          <w:szCs w:val="32"/>
          <w:highlight w:val="none"/>
          <w:lang w:val="en-US" w:eastAsia="zh-CN"/>
        </w:rPr>
        <w:t>和</w:t>
      </w:r>
      <w:r>
        <w:rPr>
          <w:rFonts w:hint="eastAsia" w:ascii="仿宋_GB2312" w:hAnsi="仿宋_GB2312" w:eastAsia="仿宋_GB2312" w:cs="仿宋_GB2312"/>
          <w:sz w:val="32"/>
          <w:szCs w:val="32"/>
          <w:highlight w:val="none"/>
        </w:rPr>
        <w:t>第</w:t>
      </w:r>
      <w:r>
        <w:rPr>
          <w:rFonts w:hint="eastAsia" w:ascii="仿宋_GB2312" w:hAnsi="仿宋_GB2312" w:eastAsia="仿宋_GB2312" w:cs="仿宋_GB2312"/>
          <w:sz w:val="32"/>
          <w:szCs w:val="32"/>
          <w:highlight w:val="none"/>
          <w:lang w:eastAsia="zh-CN"/>
        </w:rPr>
        <w:t>七</w:t>
      </w:r>
      <w:r>
        <w:rPr>
          <w:rFonts w:hint="eastAsia" w:ascii="仿宋_GB2312" w:hAnsi="仿宋_GB2312" w:eastAsia="仿宋_GB2312" w:cs="仿宋_GB2312"/>
          <w:sz w:val="32"/>
          <w:szCs w:val="32"/>
          <w:highlight w:val="none"/>
        </w:rPr>
        <w:t>章</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异议和投诉处理</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lang w:val="en-US" w:eastAsia="zh-CN"/>
        </w:rPr>
        <w:t>,修订后</w:t>
      </w:r>
      <w:r>
        <w:rPr>
          <w:rFonts w:hint="eastAsia" w:ascii="仿宋_GB2312" w:hAnsi="仿宋_GB2312" w:eastAsia="仿宋_GB2312" w:cs="仿宋_GB2312"/>
          <w:sz w:val="32"/>
          <w:szCs w:val="32"/>
        </w:rPr>
        <w:t>共</w:t>
      </w:r>
      <w:r>
        <w:rPr>
          <w:rFonts w:hint="eastAsia" w:ascii="仿宋_GB2312" w:hAnsi="仿宋_GB2312" w:eastAsia="仿宋_GB2312" w:cs="仿宋_GB2312"/>
          <w:sz w:val="32"/>
          <w:szCs w:val="32"/>
          <w:lang w:eastAsia="zh-CN"/>
        </w:rPr>
        <w:t>九章</w:t>
      </w: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条。</w:t>
      </w:r>
    </w:p>
    <w:p>
      <w:pPr>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第一章“总则”共</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条，主要</w:t>
      </w:r>
      <w:r>
        <w:rPr>
          <w:rFonts w:hint="eastAsia" w:ascii="仿宋_GB2312" w:hAnsi="仿宋_GB2312" w:eastAsia="仿宋_GB2312" w:cs="仿宋_GB2312"/>
          <w:sz w:val="32"/>
          <w:szCs w:val="32"/>
          <w:lang w:val="en-US" w:eastAsia="zh-CN"/>
        </w:rPr>
        <w:t>阐明</w:t>
      </w:r>
      <w:r>
        <w:rPr>
          <w:rFonts w:hint="eastAsia" w:ascii="仿宋_GB2312" w:hAnsi="仿宋_GB2312" w:eastAsia="仿宋_GB2312" w:cs="仿宋_GB2312"/>
          <w:sz w:val="32"/>
          <w:szCs w:val="32"/>
          <w:lang w:eastAsia="zh-CN"/>
        </w:rPr>
        <w:t>制定</w:t>
      </w:r>
      <w:r>
        <w:rPr>
          <w:rFonts w:hint="eastAsia" w:ascii="仿宋_GB2312" w:hAnsi="仿宋_GB2312" w:eastAsia="仿宋_GB2312" w:cs="仿宋_GB2312"/>
          <w:sz w:val="32"/>
          <w:szCs w:val="32"/>
          <w:lang w:val="en-US" w:eastAsia="zh-CN"/>
        </w:rPr>
        <w:t>本规定</w:t>
      </w:r>
      <w:r>
        <w:rPr>
          <w:rFonts w:hint="eastAsia" w:ascii="仿宋_GB2312" w:hAnsi="仿宋_GB2312" w:eastAsia="仿宋_GB2312" w:cs="仿宋_GB2312"/>
          <w:sz w:val="32"/>
          <w:szCs w:val="32"/>
          <w:lang w:eastAsia="zh-CN"/>
        </w:rPr>
        <w:t>的目的</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lang w:eastAsia="zh-CN"/>
        </w:rPr>
        <w:t>依据，适用范围，</w:t>
      </w:r>
      <w:r>
        <w:rPr>
          <w:rFonts w:hint="eastAsia" w:ascii="仿宋_GB2312" w:hAnsi="仿宋_GB2312" w:eastAsia="仿宋_GB2312" w:cs="仿宋_GB2312"/>
          <w:sz w:val="32"/>
          <w:szCs w:val="32"/>
          <w:lang w:val="en-US" w:eastAsia="zh-CN"/>
        </w:rPr>
        <w:t>规定必须</w:t>
      </w:r>
      <w:r>
        <w:rPr>
          <w:rFonts w:hint="eastAsia" w:ascii="仿宋_GB2312" w:hAnsi="仿宋_GB2312" w:eastAsia="仿宋_GB2312" w:cs="仿宋_GB2312"/>
          <w:sz w:val="32"/>
          <w:szCs w:val="32"/>
          <w:lang w:eastAsia="zh-CN"/>
        </w:rPr>
        <w:t>招标的范围和规模标准，招标投标活动遵循的基本原则，职责分工。</w:t>
      </w:r>
    </w:p>
    <w:p>
      <w:pPr>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第二章“招标”共</w:t>
      </w:r>
      <w:r>
        <w:rPr>
          <w:rFonts w:hint="eastAsia" w:ascii="仿宋_GB2312" w:hAnsi="仿宋_GB2312" w:eastAsia="仿宋_GB2312" w:cs="仿宋_GB2312"/>
          <w:sz w:val="32"/>
          <w:szCs w:val="32"/>
          <w:lang w:val="en-US" w:eastAsia="zh-CN"/>
        </w:rPr>
        <w:t>21</w:t>
      </w:r>
      <w:r>
        <w:rPr>
          <w:rFonts w:hint="eastAsia" w:ascii="仿宋_GB2312" w:hAnsi="仿宋_GB2312" w:eastAsia="仿宋_GB2312" w:cs="仿宋_GB2312"/>
          <w:sz w:val="32"/>
          <w:szCs w:val="32"/>
          <w:lang w:eastAsia="zh-CN"/>
        </w:rPr>
        <w:t>条，主要</w:t>
      </w:r>
      <w:r>
        <w:rPr>
          <w:rFonts w:hint="eastAsia" w:ascii="仿宋_GB2312" w:hAnsi="仿宋_GB2312" w:eastAsia="仿宋_GB2312" w:cs="仿宋_GB2312"/>
          <w:sz w:val="32"/>
          <w:szCs w:val="32"/>
          <w:lang w:val="en-US" w:eastAsia="zh-CN"/>
        </w:rPr>
        <w:t>规定全流程电子招标投标，</w:t>
      </w:r>
      <w:r>
        <w:rPr>
          <w:rFonts w:hint="eastAsia" w:ascii="仿宋_GB2312" w:hAnsi="仿宋_GB2312" w:eastAsia="仿宋_GB2312" w:cs="仿宋_GB2312"/>
          <w:sz w:val="32"/>
          <w:szCs w:val="32"/>
          <w:lang w:eastAsia="zh-CN"/>
        </w:rPr>
        <w:t>水利工程建设项目分级进入公共资源交易平台，</w:t>
      </w:r>
      <w:r>
        <w:rPr>
          <w:rFonts w:hint="eastAsia" w:ascii="仿宋_GB2312" w:hAnsi="仿宋_GB2312" w:eastAsia="仿宋_GB2312" w:cs="仿宋_GB2312"/>
          <w:sz w:val="32"/>
          <w:szCs w:val="32"/>
          <w:lang w:val="en-US" w:eastAsia="zh-CN"/>
        </w:rPr>
        <w:t>招标方式，</w:t>
      </w:r>
      <w:r>
        <w:rPr>
          <w:rFonts w:hint="eastAsia" w:ascii="仿宋_GB2312" w:hAnsi="仿宋_GB2312" w:eastAsia="仿宋_GB2312" w:cs="仿宋_GB2312"/>
          <w:sz w:val="32"/>
          <w:szCs w:val="32"/>
          <w:lang w:eastAsia="zh-CN"/>
        </w:rPr>
        <w:t>邀请招标和不招标</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lang w:eastAsia="zh-CN"/>
        </w:rPr>
        <w:t>情形</w:t>
      </w:r>
      <w:r>
        <w:rPr>
          <w:rFonts w:hint="eastAsia" w:ascii="仿宋_GB2312" w:hAnsi="仿宋_GB2312" w:eastAsia="仿宋_GB2312" w:cs="仿宋_GB2312"/>
          <w:sz w:val="32"/>
          <w:szCs w:val="32"/>
          <w:lang w:val="en-US" w:eastAsia="zh-CN"/>
        </w:rPr>
        <w:t>及公示要求</w:t>
      </w:r>
      <w:r>
        <w:rPr>
          <w:rFonts w:hint="eastAsia" w:ascii="仿宋_GB2312" w:hAnsi="仿宋_GB2312" w:eastAsia="仿宋_GB2312" w:cs="仿宋_GB2312"/>
          <w:sz w:val="32"/>
          <w:szCs w:val="32"/>
          <w:lang w:eastAsia="zh-CN"/>
        </w:rPr>
        <w:t>，自行招标条件和</w:t>
      </w:r>
      <w:r>
        <w:rPr>
          <w:rFonts w:hint="eastAsia" w:ascii="仿宋_GB2312" w:hAnsi="仿宋_GB2312" w:eastAsia="仿宋_GB2312" w:cs="仿宋_GB2312"/>
          <w:sz w:val="32"/>
          <w:szCs w:val="32"/>
          <w:lang w:val="en-US" w:eastAsia="zh-CN"/>
        </w:rPr>
        <w:t>对委托招标的相关要求，进一步明确</w:t>
      </w:r>
      <w:r>
        <w:rPr>
          <w:rFonts w:hint="eastAsia" w:ascii="仿宋_GB2312" w:hAnsi="仿宋_GB2312" w:eastAsia="仿宋_GB2312" w:cs="仿宋_GB2312"/>
          <w:bCs w:val="0"/>
          <w:sz w:val="32"/>
          <w:szCs w:val="32"/>
        </w:rPr>
        <w:t>勘察</w:t>
      </w:r>
      <w:r>
        <w:rPr>
          <w:rFonts w:hint="eastAsia" w:ascii="仿宋_GB2312" w:hAnsi="仿宋_GB2312" w:eastAsia="仿宋_GB2312" w:cs="仿宋_GB2312"/>
          <w:bCs w:val="0"/>
          <w:sz w:val="32"/>
          <w:szCs w:val="32"/>
          <w:lang w:eastAsia="zh-CN"/>
        </w:rPr>
        <w:t>、</w:t>
      </w:r>
      <w:r>
        <w:rPr>
          <w:rFonts w:hint="eastAsia" w:ascii="仿宋_GB2312" w:hAnsi="仿宋_GB2312" w:eastAsia="仿宋_GB2312" w:cs="仿宋_GB2312"/>
          <w:bCs w:val="0"/>
          <w:sz w:val="32"/>
          <w:szCs w:val="32"/>
        </w:rPr>
        <w:t>设计</w:t>
      </w:r>
      <w:r>
        <w:rPr>
          <w:rFonts w:hint="eastAsia" w:ascii="仿宋_GB2312" w:hAnsi="仿宋_GB2312" w:eastAsia="仿宋_GB2312" w:cs="仿宋_GB2312"/>
          <w:bCs w:val="0"/>
          <w:sz w:val="32"/>
          <w:szCs w:val="32"/>
          <w:lang w:eastAsia="zh-CN"/>
        </w:rPr>
        <w:t>、</w:t>
      </w:r>
      <w:r>
        <w:rPr>
          <w:rFonts w:hint="eastAsia" w:ascii="仿宋_GB2312" w:hAnsi="仿宋_GB2312" w:eastAsia="仿宋_GB2312" w:cs="仿宋_GB2312"/>
          <w:bCs w:val="0"/>
          <w:sz w:val="32"/>
          <w:szCs w:val="32"/>
        </w:rPr>
        <w:t>监理</w:t>
      </w:r>
      <w:r>
        <w:rPr>
          <w:rFonts w:hint="eastAsia" w:ascii="仿宋_GB2312" w:hAnsi="仿宋_GB2312" w:eastAsia="仿宋_GB2312" w:cs="仿宋_GB2312"/>
          <w:bCs w:val="0"/>
          <w:sz w:val="32"/>
          <w:szCs w:val="32"/>
          <w:lang w:eastAsia="zh-CN"/>
        </w:rPr>
        <w:t>、全过程工程咨询、</w:t>
      </w:r>
      <w:r>
        <w:rPr>
          <w:rFonts w:hint="eastAsia" w:ascii="仿宋_GB2312" w:hAnsi="仿宋_GB2312" w:eastAsia="仿宋_GB2312" w:cs="仿宋_GB2312"/>
          <w:bCs w:val="0"/>
          <w:sz w:val="32"/>
          <w:szCs w:val="32"/>
        </w:rPr>
        <w:t>施工准备工程</w:t>
      </w:r>
      <w:r>
        <w:rPr>
          <w:rFonts w:hint="eastAsia" w:ascii="仿宋_GB2312" w:hAnsi="仿宋_GB2312" w:eastAsia="仿宋_GB2312" w:cs="仿宋_GB2312"/>
          <w:bCs w:val="0"/>
          <w:sz w:val="32"/>
          <w:szCs w:val="32"/>
          <w:lang w:eastAsia="zh-CN"/>
        </w:rPr>
        <w:t>、</w:t>
      </w:r>
      <w:r>
        <w:rPr>
          <w:rFonts w:hint="eastAsia" w:ascii="仿宋_GB2312" w:hAnsi="仿宋_GB2312" w:eastAsia="仿宋_GB2312" w:cs="仿宋_GB2312"/>
          <w:bCs w:val="0"/>
          <w:sz w:val="32"/>
          <w:szCs w:val="32"/>
        </w:rPr>
        <w:t>主体工程施工</w:t>
      </w:r>
      <w:r>
        <w:rPr>
          <w:rFonts w:hint="eastAsia" w:ascii="仿宋_GB2312" w:hAnsi="仿宋_GB2312" w:eastAsia="仿宋_GB2312" w:cs="仿宋_GB2312"/>
          <w:bCs w:val="0"/>
          <w:sz w:val="32"/>
          <w:szCs w:val="32"/>
          <w:lang w:eastAsia="zh-CN"/>
        </w:rPr>
        <w:t>、</w:t>
      </w:r>
      <w:r>
        <w:rPr>
          <w:rFonts w:hint="eastAsia" w:ascii="仿宋_GB2312" w:hAnsi="仿宋_GB2312" w:eastAsia="仿宋_GB2312" w:cs="仿宋_GB2312"/>
          <w:bCs w:val="0"/>
          <w:sz w:val="32"/>
          <w:szCs w:val="32"/>
        </w:rPr>
        <w:t>重要设备、材料</w:t>
      </w:r>
      <w:r>
        <w:rPr>
          <w:rFonts w:hint="eastAsia" w:ascii="仿宋_GB2312" w:hAnsi="仿宋_GB2312" w:eastAsia="仿宋_GB2312" w:cs="仿宋_GB2312"/>
          <w:bCs w:val="0"/>
          <w:sz w:val="32"/>
          <w:szCs w:val="32"/>
          <w:lang w:val="en-US" w:eastAsia="zh-CN"/>
        </w:rPr>
        <w:t>及</w:t>
      </w:r>
      <w:r>
        <w:rPr>
          <w:rFonts w:hint="eastAsia" w:ascii="仿宋_GB2312" w:hAnsi="仿宋_GB2312" w:eastAsia="仿宋_GB2312" w:cs="仿宋_GB2312"/>
          <w:bCs w:val="0"/>
          <w:sz w:val="32"/>
          <w:szCs w:val="32"/>
        </w:rPr>
        <w:t>工程总承包</w:t>
      </w:r>
      <w:r>
        <w:rPr>
          <w:rFonts w:hint="eastAsia" w:ascii="仿宋_GB2312" w:hAnsi="仿宋_GB2312" w:eastAsia="仿宋_GB2312" w:cs="仿宋_GB2312"/>
          <w:bCs w:val="0"/>
          <w:sz w:val="32"/>
          <w:szCs w:val="32"/>
          <w:lang w:val="en-US" w:eastAsia="zh-CN"/>
        </w:rPr>
        <w:t>的</w:t>
      </w:r>
      <w:r>
        <w:rPr>
          <w:rFonts w:hint="eastAsia" w:ascii="仿宋_GB2312" w:hAnsi="仿宋_GB2312" w:eastAsia="仿宋_GB2312" w:cs="仿宋_GB2312"/>
          <w:sz w:val="32"/>
          <w:szCs w:val="32"/>
          <w:lang w:val="en-US" w:eastAsia="zh-CN"/>
        </w:rPr>
        <w:t>招标条件，明确</w:t>
      </w:r>
      <w:r>
        <w:rPr>
          <w:rFonts w:hint="eastAsia" w:ascii="仿宋_GB2312" w:hAnsi="仿宋_GB2312" w:eastAsia="仿宋_GB2312" w:cs="仿宋_GB2312"/>
          <w:sz w:val="32"/>
          <w:szCs w:val="32"/>
          <w:lang w:eastAsia="zh-CN"/>
        </w:rPr>
        <w:t>资格审查的</w:t>
      </w:r>
      <w:r>
        <w:rPr>
          <w:rFonts w:hint="eastAsia" w:ascii="仿宋_GB2312" w:hAnsi="仿宋_GB2312" w:eastAsia="仿宋_GB2312" w:cs="仿宋_GB2312"/>
          <w:sz w:val="32"/>
          <w:szCs w:val="32"/>
          <w:lang w:val="en-US" w:eastAsia="zh-CN"/>
        </w:rPr>
        <w:t>分类和适用情形，完善</w:t>
      </w:r>
      <w:r>
        <w:rPr>
          <w:rFonts w:hint="eastAsia" w:ascii="仿宋_GB2312" w:hAnsi="仿宋_GB2312" w:eastAsia="仿宋_GB2312" w:cs="仿宋_GB2312"/>
          <w:sz w:val="32"/>
          <w:szCs w:val="32"/>
          <w:lang w:eastAsia="zh-CN"/>
        </w:rPr>
        <w:t>招标程序</w:t>
      </w:r>
      <w:r>
        <w:rPr>
          <w:rFonts w:hint="eastAsia" w:ascii="仿宋_GB2312" w:hAnsi="仿宋_GB2312" w:eastAsia="仿宋_GB2312" w:cs="仿宋_GB2312"/>
          <w:bCs w:val="0"/>
          <w:sz w:val="32"/>
          <w:szCs w:val="32"/>
          <w:lang w:val="en-US" w:eastAsia="zh-CN"/>
        </w:rPr>
        <w:t>，</w:t>
      </w:r>
      <w:r>
        <w:rPr>
          <w:rFonts w:hint="eastAsia" w:ascii="仿宋_GB2312" w:hAnsi="仿宋_GB2312" w:eastAsia="仿宋_GB2312" w:cs="仿宋_GB2312"/>
          <w:sz w:val="32"/>
          <w:szCs w:val="32"/>
        </w:rPr>
        <w:t>明确</w:t>
      </w:r>
      <w:r>
        <w:rPr>
          <w:rFonts w:hint="eastAsia" w:ascii="仿宋_GB2312" w:hAnsi="仿宋_GB2312" w:eastAsia="仿宋_GB2312" w:cs="仿宋_GB2312"/>
          <w:bCs/>
          <w:sz w:val="32"/>
          <w:szCs w:val="32"/>
        </w:rPr>
        <w:t>招标人依法在招标投标活动中</w:t>
      </w:r>
      <w:r>
        <w:rPr>
          <w:rFonts w:hint="eastAsia" w:ascii="仿宋_GB2312" w:hAnsi="仿宋_GB2312" w:eastAsia="仿宋_GB2312" w:cs="仿宋_GB2312"/>
          <w:bCs/>
          <w:i w:val="0"/>
          <w:iCs w:val="0"/>
          <w:caps w:val="0"/>
          <w:color w:val="auto"/>
          <w:spacing w:val="0"/>
          <w:kern w:val="2"/>
          <w:sz w:val="32"/>
          <w:szCs w:val="32"/>
          <w:highlight w:val="none"/>
          <w:shd w:val="clear" w:fill="auto"/>
          <w:lang w:val="en-US" w:eastAsia="zh-CN" w:bidi="ar"/>
        </w:rPr>
        <w:t>按照守信激励和失信惩戒的原则</w:t>
      </w:r>
      <w:r>
        <w:rPr>
          <w:rFonts w:hint="eastAsia" w:ascii="仿宋_GB2312" w:hAnsi="仿宋_GB2312" w:eastAsia="仿宋_GB2312" w:cs="仿宋_GB2312"/>
          <w:bCs/>
          <w:sz w:val="32"/>
          <w:szCs w:val="32"/>
        </w:rPr>
        <w:t>使用</w:t>
      </w:r>
      <w:r>
        <w:rPr>
          <w:rFonts w:hint="eastAsia" w:ascii="仿宋_GB2312" w:hAnsi="仿宋_GB2312" w:eastAsia="仿宋_GB2312" w:cs="仿宋_GB2312"/>
          <w:bCs/>
          <w:sz w:val="32"/>
          <w:szCs w:val="32"/>
          <w:lang w:val="en-US" w:eastAsia="zh-CN"/>
        </w:rPr>
        <w:t>信用信息和</w:t>
      </w:r>
      <w:r>
        <w:rPr>
          <w:rFonts w:hint="eastAsia" w:ascii="仿宋_GB2312" w:hAnsi="仿宋_GB2312" w:eastAsia="仿宋_GB2312" w:cs="仿宋_GB2312"/>
          <w:bCs/>
          <w:sz w:val="32"/>
          <w:szCs w:val="32"/>
        </w:rPr>
        <w:t>信用评价结果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规定</w:t>
      </w:r>
      <w:r>
        <w:rPr>
          <w:rFonts w:hint="eastAsia" w:ascii="仿宋_GB2312" w:hAnsi="仿宋_GB2312" w:eastAsia="仿宋_GB2312" w:cs="仿宋_GB2312"/>
          <w:sz w:val="32"/>
          <w:szCs w:val="32"/>
          <w:lang w:eastAsia="zh-CN"/>
        </w:rPr>
        <w:t>公告发布</w:t>
      </w:r>
      <w:r>
        <w:rPr>
          <w:rFonts w:hint="eastAsia" w:ascii="仿宋_GB2312" w:hAnsi="仿宋_GB2312" w:eastAsia="仿宋_GB2312" w:cs="仿宋_GB2312"/>
          <w:sz w:val="32"/>
          <w:szCs w:val="32"/>
          <w:lang w:val="en-US" w:eastAsia="zh-CN"/>
        </w:rPr>
        <w:t>的媒介及相关要求，鼓励招标人对</w:t>
      </w:r>
      <w:r>
        <w:rPr>
          <w:rFonts w:hint="eastAsia" w:ascii="仿宋_GB2312" w:hAnsi="仿宋_GB2312" w:eastAsia="仿宋_GB2312" w:cs="仿宋_GB2312"/>
          <w:sz w:val="32"/>
          <w:szCs w:val="32"/>
          <w:lang w:eastAsia="zh-CN"/>
        </w:rPr>
        <w:t>招标文件</w:t>
      </w:r>
      <w:r>
        <w:rPr>
          <w:rFonts w:hint="eastAsia" w:ascii="仿宋_GB2312" w:hAnsi="仿宋_GB2312" w:eastAsia="仿宋_GB2312" w:cs="仿宋_GB2312"/>
          <w:sz w:val="32"/>
          <w:szCs w:val="32"/>
          <w:lang w:val="en-US" w:eastAsia="zh-CN"/>
        </w:rPr>
        <w:t>开展公平竞争审查，</w:t>
      </w:r>
      <w:r>
        <w:rPr>
          <w:rFonts w:hint="eastAsia" w:ascii="仿宋_GB2312" w:hAnsi="仿宋_GB2312" w:eastAsia="仿宋_GB2312" w:cs="仿宋_GB2312"/>
          <w:sz w:val="32"/>
          <w:szCs w:val="32"/>
          <w:lang w:eastAsia="zh-CN"/>
        </w:rPr>
        <w:t>细化以不合理条件限制、排斥投标人</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lang w:eastAsia="zh-CN"/>
        </w:rPr>
        <w:t>具体内容，</w:t>
      </w:r>
      <w:r>
        <w:rPr>
          <w:rFonts w:hint="eastAsia" w:ascii="仿宋_GB2312" w:hAnsi="仿宋_GB2312" w:eastAsia="仿宋_GB2312" w:cs="仿宋_GB2312"/>
          <w:sz w:val="32"/>
          <w:szCs w:val="32"/>
          <w:lang w:val="en-US" w:eastAsia="zh-CN"/>
        </w:rPr>
        <w:t>明确可能影响投标文件编制的澄清或者修改情形，</w:t>
      </w:r>
      <w:r>
        <w:rPr>
          <w:rFonts w:hint="eastAsia" w:ascii="仿宋_GB2312" w:hAnsi="仿宋_GB2312" w:eastAsia="仿宋_GB2312" w:cs="仿宋_GB2312"/>
          <w:sz w:val="32"/>
          <w:szCs w:val="32"/>
          <w:lang w:eastAsia="zh-CN"/>
        </w:rPr>
        <w:t>简化投标担保分档按不同比例收取的要求，明确投标担保形式以及退还要求，</w:t>
      </w:r>
      <w:r>
        <w:rPr>
          <w:rFonts w:hint="eastAsia" w:ascii="仿宋_GB2312" w:hAnsi="仿宋_GB2312" w:eastAsia="仿宋_GB2312" w:cs="仿宋_GB2312"/>
          <w:sz w:val="32"/>
          <w:szCs w:val="32"/>
          <w:lang w:val="en-US" w:eastAsia="zh-CN"/>
        </w:rPr>
        <w:t>阐明</w:t>
      </w:r>
      <w:r>
        <w:rPr>
          <w:rFonts w:hint="eastAsia" w:ascii="仿宋_GB2312" w:hAnsi="仿宋_GB2312" w:eastAsia="仿宋_GB2312" w:cs="仿宋_GB2312"/>
          <w:sz w:val="32"/>
          <w:szCs w:val="32"/>
          <w:lang w:eastAsia="zh-CN"/>
        </w:rPr>
        <w:t>水利工程暂估价项目招标的两种组织形式，给出了水利工程标段划分的一般原则</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lang w:eastAsia="zh-CN"/>
        </w:rPr>
        <w:t>。</w:t>
      </w:r>
    </w:p>
    <w:p>
      <w:pPr>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第三章“投标”共</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条，主要</w:t>
      </w:r>
      <w:r>
        <w:rPr>
          <w:rFonts w:hint="eastAsia" w:ascii="仿宋_GB2312" w:hAnsi="仿宋_GB2312" w:eastAsia="仿宋_GB2312" w:cs="仿宋_GB2312"/>
          <w:sz w:val="32"/>
          <w:szCs w:val="32"/>
          <w:lang w:val="en-US" w:eastAsia="zh-CN"/>
        </w:rPr>
        <w:t>规定</w:t>
      </w:r>
      <w:r>
        <w:rPr>
          <w:rFonts w:hint="eastAsia" w:ascii="仿宋_GB2312" w:hAnsi="仿宋_GB2312" w:eastAsia="仿宋_GB2312" w:cs="仿宋_GB2312"/>
          <w:sz w:val="32"/>
          <w:szCs w:val="32"/>
          <w:lang w:eastAsia="zh-CN"/>
        </w:rPr>
        <w:t>投标人</w:t>
      </w:r>
      <w:r>
        <w:rPr>
          <w:rFonts w:hint="eastAsia" w:ascii="仿宋_GB2312" w:hAnsi="仿宋_GB2312" w:eastAsia="仿宋_GB2312" w:cs="仿宋_GB2312"/>
          <w:sz w:val="32"/>
          <w:szCs w:val="32"/>
          <w:lang w:val="en-US" w:eastAsia="zh-CN"/>
        </w:rPr>
        <w:t>资格</w:t>
      </w:r>
      <w:r>
        <w:rPr>
          <w:rFonts w:hint="eastAsia" w:ascii="仿宋_GB2312" w:hAnsi="仿宋_GB2312" w:eastAsia="仿宋_GB2312" w:cs="仿宋_GB2312"/>
          <w:sz w:val="32"/>
          <w:szCs w:val="32"/>
          <w:lang w:eastAsia="zh-CN"/>
        </w:rPr>
        <w:t>要求，投标文件</w:t>
      </w:r>
      <w:r>
        <w:rPr>
          <w:rFonts w:hint="eastAsia" w:ascii="仿宋_GB2312" w:hAnsi="仿宋_GB2312" w:eastAsia="仿宋_GB2312" w:cs="仿宋_GB2312"/>
          <w:sz w:val="32"/>
          <w:szCs w:val="32"/>
          <w:lang w:val="en-US" w:eastAsia="zh-CN"/>
        </w:rPr>
        <w:t>编制及递交，阐明</w:t>
      </w:r>
      <w:r>
        <w:rPr>
          <w:rFonts w:hint="eastAsia" w:ascii="仿宋_GB2312" w:hAnsi="仿宋_GB2312" w:eastAsia="仿宋_GB2312" w:cs="仿宋_GB2312"/>
          <w:sz w:val="32"/>
          <w:szCs w:val="32"/>
          <w:lang w:eastAsia="zh-CN"/>
        </w:rPr>
        <w:t>联合体的组建原则</w:t>
      </w:r>
      <w:r>
        <w:rPr>
          <w:rFonts w:hint="eastAsia" w:ascii="仿宋_GB2312" w:hAnsi="仿宋_GB2312" w:eastAsia="仿宋_GB2312" w:cs="仿宋_GB2312"/>
          <w:sz w:val="32"/>
          <w:szCs w:val="32"/>
          <w:lang w:val="en-US" w:eastAsia="zh-CN"/>
        </w:rPr>
        <w:t>，明确联合体单位资质的认定及联合体成员之间关系等。</w:t>
      </w:r>
    </w:p>
    <w:p>
      <w:pPr>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第四章“</w:t>
      </w:r>
      <w:r>
        <w:rPr>
          <w:rFonts w:hint="eastAsia" w:ascii="仿宋_GB2312" w:hAnsi="仿宋_GB2312" w:eastAsia="仿宋_GB2312" w:cs="仿宋_GB2312"/>
          <w:sz w:val="32"/>
          <w:szCs w:val="32"/>
          <w:lang w:val="en-US" w:eastAsia="zh-CN"/>
        </w:rPr>
        <w:t>评标标准与方法</w:t>
      </w:r>
      <w:r>
        <w:rPr>
          <w:rFonts w:hint="eastAsia" w:ascii="仿宋_GB2312" w:hAnsi="仿宋_GB2312" w:eastAsia="仿宋_GB2312" w:cs="仿宋_GB2312"/>
          <w:sz w:val="32"/>
          <w:szCs w:val="32"/>
          <w:lang w:eastAsia="zh-CN"/>
        </w:rPr>
        <w:t>”共</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条，主要</w:t>
      </w:r>
      <w:r>
        <w:rPr>
          <w:rFonts w:hint="eastAsia" w:ascii="仿宋_GB2312" w:hAnsi="仿宋_GB2312" w:eastAsia="仿宋_GB2312" w:cs="仿宋_GB2312"/>
          <w:sz w:val="32"/>
          <w:szCs w:val="32"/>
          <w:lang w:val="en-US" w:eastAsia="zh-CN"/>
        </w:rPr>
        <w:t>规定同一个招标项目中特点相近的标段评标标准和方法应当保持一致，明确水利工程建设项目一般采用综合评估法，规范经评审的最低投标价法的适用范围，给出了不同类型招标项目的评审因素等。</w:t>
      </w:r>
    </w:p>
    <w:p>
      <w:pPr>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第五章“开标、评标和中标”共</w:t>
      </w:r>
      <w:r>
        <w:rPr>
          <w:rFonts w:hint="eastAsia" w:ascii="仿宋_GB2312" w:hAnsi="仿宋_GB2312" w:eastAsia="仿宋_GB2312" w:cs="仿宋_GB2312"/>
          <w:sz w:val="32"/>
          <w:szCs w:val="32"/>
          <w:lang w:val="en-US" w:eastAsia="zh-CN"/>
        </w:rPr>
        <w:t>18</w:t>
      </w:r>
      <w:r>
        <w:rPr>
          <w:rFonts w:hint="eastAsia" w:ascii="仿宋_GB2312" w:hAnsi="仿宋_GB2312" w:eastAsia="仿宋_GB2312" w:cs="仿宋_GB2312"/>
          <w:sz w:val="32"/>
          <w:szCs w:val="32"/>
          <w:lang w:eastAsia="zh-CN"/>
        </w:rPr>
        <w:t>条，主要</w:t>
      </w:r>
      <w:r>
        <w:rPr>
          <w:rFonts w:hint="eastAsia" w:ascii="仿宋_GB2312" w:hAnsi="仿宋_GB2312" w:eastAsia="仿宋_GB2312" w:cs="仿宋_GB2312"/>
          <w:sz w:val="32"/>
          <w:szCs w:val="32"/>
          <w:lang w:val="en-US" w:eastAsia="zh-CN"/>
        </w:rPr>
        <w:t>规定电子</w:t>
      </w:r>
      <w:r>
        <w:rPr>
          <w:rFonts w:hint="eastAsia" w:ascii="仿宋_GB2312" w:hAnsi="仿宋_GB2312" w:eastAsia="仿宋_GB2312" w:cs="仿宋_GB2312"/>
          <w:sz w:val="32"/>
          <w:szCs w:val="32"/>
          <w:lang w:eastAsia="zh-CN"/>
        </w:rPr>
        <w:t>开标的</w:t>
      </w:r>
      <w:r>
        <w:rPr>
          <w:rFonts w:hint="eastAsia" w:ascii="仿宋_GB2312" w:hAnsi="仿宋_GB2312" w:eastAsia="仿宋_GB2312" w:cs="仿宋_GB2312"/>
          <w:sz w:val="32"/>
          <w:szCs w:val="32"/>
          <w:lang w:val="en-US" w:eastAsia="zh-CN"/>
        </w:rPr>
        <w:t>相关要求</w:t>
      </w:r>
      <w:r>
        <w:rPr>
          <w:rFonts w:hint="eastAsia" w:ascii="仿宋_GB2312" w:hAnsi="仿宋_GB2312" w:eastAsia="仿宋_GB2312" w:cs="仿宋_GB2312"/>
          <w:sz w:val="32"/>
          <w:szCs w:val="32"/>
          <w:lang w:eastAsia="zh-CN"/>
        </w:rPr>
        <w:t>，评标委员会组成，明确招标人代表</w:t>
      </w:r>
      <w:r>
        <w:rPr>
          <w:rFonts w:hint="eastAsia" w:ascii="仿宋_GB2312" w:hAnsi="仿宋_GB2312" w:eastAsia="仿宋_GB2312" w:cs="仿宋_GB2312"/>
          <w:bCs/>
          <w:sz w:val="32"/>
          <w:szCs w:val="32"/>
          <w:lang w:val="en-US" w:eastAsia="zh-CN"/>
        </w:rPr>
        <w:t>可以由</w:t>
      </w:r>
      <w:r>
        <w:rPr>
          <w:rFonts w:hint="eastAsia" w:ascii="仿宋_GB2312" w:hAnsi="仿宋_GB2312" w:eastAsia="仿宋_GB2312" w:cs="仿宋_GB2312"/>
          <w:bCs/>
          <w:sz w:val="32"/>
          <w:szCs w:val="32"/>
        </w:rPr>
        <w:t>外部专家</w:t>
      </w:r>
      <w:r>
        <w:rPr>
          <w:rFonts w:hint="eastAsia" w:ascii="仿宋_GB2312" w:hAnsi="仿宋_GB2312" w:eastAsia="仿宋_GB2312" w:cs="仿宋_GB2312"/>
          <w:bCs/>
          <w:sz w:val="32"/>
          <w:szCs w:val="32"/>
          <w:lang w:val="en-US" w:eastAsia="zh-CN"/>
        </w:rPr>
        <w:t>担任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规定评标专家库的使用，评标专家</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lang w:val="en-US" w:eastAsia="zh-CN"/>
        </w:rPr>
        <w:t>选择及评标委员会成员回避要求，进一步规范</w:t>
      </w:r>
      <w:r>
        <w:rPr>
          <w:rFonts w:hint="eastAsia" w:ascii="仿宋_GB2312" w:hAnsi="仿宋_GB2312" w:eastAsia="仿宋_GB2312" w:cs="仿宋_GB2312"/>
          <w:sz w:val="32"/>
          <w:szCs w:val="32"/>
          <w:lang w:eastAsia="zh-CN"/>
        </w:rPr>
        <w:t>评标工作程序，</w:t>
      </w:r>
      <w:r>
        <w:rPr>
          <w:rFonts w:hint="eastAsia" w:ascii="仿宋_GB2312" w:hAnsi="仿宋_GB2312" w:eastAsia="仿宋_GB2312" w:cs="仿宋_GB2312"/>
          <w:sz w:val="32"/>
          <w:szCs w:val="32"/>
          <w:lang w:val="en-US" w:eastAsia="zh-CN"/>
        </w:rPr>
        <w:t>强化评标评审工作中评标委员会的职责要求，进一步明确</w:t>
      </w:r>
      <w:r>
        <w:rPr>
          <w:rFonts w:hint="eastAsia" w:ascii="仿宋_GB2312" w:hAnsi="仿宋_GB2312" w:eastAsia="仿宋_GB2312" w:cs="仿宋_GB2312"/>
          <w:sz w:val="32"/>
          <w:szCs w:val="32"/>
          <w:lang w:eastAsia="zh-CN"/>
        </w:rPr>
        <w:t>否决投标</w:t>
      </w:r>
      <w:r>
        <w:rPr>
          <w:rFonts w:hint="eastAsia" w:ascii="仿宋_GB2312" w:hAnsi="仿宋_GB2312" w:eastAsia="仿宋_GB2312" w:cs="仿宋_GB2312"/>
          <w:sz w:val="32"/>
          <w:szCs w:val="32"/>
          <w:lang w:val="en-US" w:eastAsia="zh-CN"/>
        </w:rPr>
        <w:t>及</w:t>
      </w:r>
      <w:r>
        <w:rPr>
          <w:rFonts w:hint="eastAsia" w:ascii="仿宋_GB2312" w:hAnsi="仿宋_GB2312" w:eastAsia="仿宋_GB2312" w:cs="仿宋_GB2312"/>
          <w:sz w:val="32"/>
          <w:szCs w:val="32"/>
          <w:lang w:eastAsia="zh-CN"/>
        </w:rPr>
        <w:t>重新招标的</w:t>
      </w:r>
      <w:r>
        <w:rPr>
          <w:rFonts w:hint="eastAsia" w:ascii="仿宋_GB2312" w:hAnsi="仿宋_GB2312" w:eastAsia="仿宋_GB2312" w:cs="仿宋_GB2312"/>
          <w:sz w:val="32"/>
          <w:szCs w:val="32"/>
          <w:lang w:val="en-US" w:eastAsia="zh-CN"/>
        </w:rPr>
        <w:t>情形</w:t>
      </w:r>
      <w:r>
        <w:rPr>
          <w:rFonts w:hint="eastAsia" w:ascii="仿宋_GB2312" w:hAnsi="仿宋_GB2312" w:eastAsia="仿宋_GB2312" w:cs="仿宋_GB2312"/>
          <w:sz w:val="32"/>
          <w:szCs w:val="32"/>
          <w:lang w:eastAsia="zh-CN"/>
        </w:rPr>
        <w:t>，以及对异常低价评审的相关要求，规定招标人应对评标报告进行审核，</w:t>
      </w:r>
      <w:r>
        <w:rPr>
          <w:rFonts w:hint="eastAsia" w:ascii="仿宋_GB2312" w:hAnsi="仿宋_GB2312" w:eastAsia="仿宋_GB2312" w:cs="仿宋_GB2312"/>
          <w:sz w:val="32"/>
          <w:szCs w:val="32"/>
          <w:lang w:val="en-US" w:eastAsia="zh-CN"/>
        </w:rPr>
        <w:t>规定中标候选人排序和不排序两种情况下中标人的确定，并规定定标规则应当包含的具体内容，进一步阐明递补中标的原则等。</w:t>
      </w:r>
    </w:p>
    <w:p>
      <w:pPr>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rPr>
        <w:t>第</w:t>
      </w:r>
      <w:r>
        <w:rPr>
          <w:rFonts w:hint="eastAsia" w:ascii="仿宋_GB2312" w:hAnsi="仿宋_GB2312" w:eastAsia="仿宋_GB2312" w:cs="仿宋_GB2312"/>
          <w:sz w:val="32"/>
          <w:szCs w:val="32"/>
          <w:highlight w:val="none"/>
          <w:lang w:eastAsia="zh-CN"/>
        </w:rPr>
        <w:t>六</w:t>
      </w:r>
      <w:r>
        <w:rPr>
          <w:rFonts w:hint="eastAsia" w:ascii="仿宋_GB2312" w:hAnsi="仿宋_GB2312" w:eastAsia="仿宋_GB2312" w:cs="仿宋_GB2312"/>
          <w:sz w:val="32"/>
          <w:szCs w:val="32"/>
          <w:highlight w:val="none"/>
        </w:rPr>
        <w:t>章“</w:t>
      </w:r>
      <w:r>
        <w:rPr>
          <w:rFonts w:hint="eastAsia" w:ascii="仿宋_GB2312" w:hAnsi="仿宋_GB2312" w:eastAsia="仿宋_GB2312" w:cs="仿宋_GB2312"/>
          <w:sz w:val="32"/>
          <w:szCs w:val="32"/>
          <w:highlight w:val="none"/>
          <w:lang w:val="en-US" w:eastAsia="zh-CN"/>
        </w:rPr>
        <w:t>履约管理</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共</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CN"/>
        </w:rPr>
        <w:t>条</w:t>
      </w:r>
      <w:r>
        <w:rPr>
          <w:rFonts w:hint="eastAsia" w:ascii="仿宋_GB2312" w:hAnsi="仿宋_GB2312" w:eastAsia="仿宋_GB2312" w:cs="仿宋_GB2312"/>
          <w:sz w:val="32"/>
          <w:szCs w:val="32"/>
          <w:lang w:eastAsia="zh-CN"/>
        </w:rPr>
        <w:t>，主要</w:t>
      </w:r>
      <w:r>
        <w:rPr>
          <w:rFonts w:hint="eastAsia" w:ascii="仿宋_GB2312" w:hAnsi="仿宋_GB2312" w:eastAsia="仿宋_GB2312" w:cs="仿宋_GB2312"/>
          <w:sz w:val="32"/>
          <w:szCs w:val="32"/>
          <w:lang w:val="en-US" w:eastAsia="zh-CN"/>
        </w:rPr>
        <w:t>阐明对中标人履，履约信息公开和招标档案等的要求。</w:t>
      </w:r>
    </w:p>
    <w:p>
      <w:pPr>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第</w:t>
      </w:r>
      <w:r>
        <w:rPr>
          <w:rFonts w:hint="eastAsia" w:ascii="仿宋_GB2312" w:hAnsi="仿宋_GB2312" w:eastAsia="仿宋_GB2312" w:cs="仿宋_GB2312"/>
          <w:sz w:val="32"/>
          <w:szCs w:val="32"/>
          <w:lang w:eastAsia="zh-CN"/>
        </w:rPr>
        <w:t>七</w:t>
      </w:r>
      <w:r>
        <w:rPr>
          <w:rFonts w:hint="eastAsia" w:ascii="仿宋_GB2312" w:hAnsi="仿宋_GB2312" w:eastAsia="仿宋_GB2312" w:cs="仿宋_GB2312"/>
          <w:sz w:val="32"/>
          <w:szCs w:val="32"/>
        </w:rPr>
        <w:t>章“</w:t>
      </w:r>
      <w:r>
        <w:rPr>
          <w:rFonts w:hint="eastAsia" w:ascii="仿宋_GB2312" w:hAnsi="仿宋_GB2312" w:eastAsia="仿宋_GB2312" w:cs="仿宋_GB2312"/>
          <w:sz w:val="32"/>
          <w:szCs w:val="32"/>
          <w:lang w:val="en-US" w:eastAsia="zh-CN"/>
        </w:rPr>
        <w:t>异议和投诉处理</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共</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条，主要</w:t>
      </w:r>
      <w:r>
        <w:rPr>
          <w:rFonts w:hint="eastAsia" w:ascii="仿宋_GB2312" w:hAnsi="仿宋_GB2312" w:eastAsia="仿宋_GB2312" w:cs="仿宋_GB2312"/>
          <w:sz w:val="32"/>
          <w:szCs w:val="32"/>
          <w:lang w:val="en-US" w:eastAsia="zh-CN"/>
        </w:rPr>
        <w:t>规定异议的类型及提出和答复的时限，投诉的提出和处理</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lang w:val="en-US" w:eastAsia="zh-CN"/>
        </w:rPr>
        <w:t>。</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第八章“监督管理”共</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条，主要</w:t>
      </w:r>
      <w:r>
        <w:rPr>
          <w:rFonts w:hint="eastAsia" w:ascii="仿宋_GB2312" w:hAnsi="仿宋_GB2312" w:eastAsia="仿宋_GB2312" w:cs="仿宋_GB2312"/>
          <w:sz w:val="32"/>
          <w:szCs w:val="32"/>
          <w:lang w:val="en-US" w:eastAsia="zh-CN"/>
        </w:rPr>
        <w:t>规定</w:t>
      </w:r>
      <w:r>
        <w:rPr>
          <w:rFonts w:hint="eastAsia" w:ascii="仿宋_GB2312" w:hAnsi="仿宋_GB2312" w:eastAsia="仿宋_GB2312" w:cs="仿宋_GB2312"/>
          <w:bCs w:val="0"/>
          <w:sz w:val="32"/>
          <w:szCs w:val="32"/>
          <w:lang w:val="en-US"/>
        </w:rPr>
        <w:t>监督管理</w:t>
      </w:r>
      <w:r>
        <w:rPr>
          <w:rFonts w:hint="eastAsia" w:ascii="仿宋_GB2312" w:hAnsi="仿宋_GB2312" w:eastAsia="仿宋_GB2312" w:cs="仿宋_GB2312"/>
          <w:bCs w:val="0"/>
          <w:sz w:val="32"/>
          <w:szCs w:val="32"/>
          <w:lang w:val="en-US" w:eastAsia="zh-CN"/>
        </w:rPr>
        <w:t>方式，行政监督内容，信用监管，行政</w:t>
      </w:r>
      <w:r>
        <w:rPr>
          <w:rFonts w:hint="eastAsia" w:ascii="仿宋_GB2312" w:hAnsi="仿宋_GB2312" w:eastAsia="仿宋_GB2312" w:cs="仿宋_GB2312"/>
          <w:sz w:val="32"/>
          <w:szCs w:val="32"/>
          <w:lang w:val="en-US" w:eastAsia="zh-CN"/>
        </w:rPr>
        <w:t>处理等</w:t>
      </w:r>
      <w:r>
        <w:rPr>
          <w:rFonts w:hint="eastAsia" w:ascii="仿宋_GB2312" w:hAnsi="仿宋_GB2312" w:eastAsia="仿宋_GB2312" w:cs="仿宋_GB2312"/>
          <w:sz w:val="32"/>
          <w:szCs w:val="32"/>
        </w:rPr>
        <w:t>。</w:t>
      </w:r>
    </w:p>
    <w:p>
      <w:pPr>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第</w:t>
      </w:r>
      <w:r>
        <w:rPr>
          <w:rFonts w:hint="eastAsia" w:ascii="仿宋_GB2312" w:hAnsi="仿宋_GB2312" w:eastAsia="仿宋_GB2312" w:cs="仿宋_GB2312"/>
          <w:sz w:val="32"/>
          <w:szCs w:val="32"/>
          <w:lang w:val="en-US" w:eastAsia="zh-CN"/>
        </w:rPr>
        <w:t>九</w:t>
      </w:r>
      <w:r>
        <w:rPr>
          <w:rFonts w:hint="eastAsia" w:ascii="仿宋_GB2312" w:hAnsi="仿宋_GB2312" w:eastAsia="仿宋_GB2312" w:cs="仿宋_GB2312"/>
          <w:sz w:val="32"/>
          <w:szCs w:val="32"/>
        </w:rPr>
        <w:t>章“</w:t>
      </w:r>
      <w:r>
        <w:rPr>
          <w:rFonts w:hint="eastAsia" w:ascii="仿宋_GB2312" w:hAnsi="仿宋_GB2312" w:eastAsia="仿宋_GB2312" w:cs="仿宋_GB2312"/>
          <w:sz w:val="32"/>
          <w:szCs w:val="32"/>
          <w:lang w:val="en-US" w:eastAsia="zh-CN"/>
        </w:rPr>
        <w:t>附则</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共</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条，主要</w:t>
      </w:r>
      <w:r>
        <w:rPr>
          <w:rFonts w:hint="eastAsia" w:ascii="仿宋_GB2312" w:hAnsi="仿宋_GB2312" w:eastAsia="仿宋_GB2312" w:cs="仿宋_GB2312"/>
          <w:sz w:val="32"/>
          <w:szCs w:val="32"/>
          <w:lang w:val="en-US" w:eastAsia="zh-CN"/>
        </w:rPr>
        <w:t>规定与政府采购方式的衔接，解释权以及施行时间</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lang w:val="en-US" w:eastAsia="zh-CN"/>
        </w:rPr>
        <w:t>。</w:t>
      </w:r>
    </w:p>
    <w:p>
      <w:pPr>
        <w:snapToGrid w:val="0"/>
        <w:spacing w:line="600" w:lineRule="exact"/>
        <w:ind w:firstLine="640" w:firstLineChars="200"/>
        <w:rPr>
          <w:rFonts w:hint="default" w:ascii="仿宋_GB2312" w:hAnsi="仿宋" w:eastAsia="仿宋_GB2312"/>
          <w:sz w:val="32"/>
          <w:szCs w:val="32"/>
          <w:lang w:val="en-US" w:eastAsia="zh-CN"/>
        </w:rPr>
      </w:pPr>
    </w:p>
    <w:sectPr>
      <w:footerReference r:id="rId3" w:type="default"/>
      <w:pgSz w:w="11906" w:h="16838" w:orient="landscape"/>
      <w:pgMar w:top="1440" w:right="1633" w:bottom="1440" w:left="1633" w:header="851" w:footer="528" w:gutter="0"/>
      <w:cols w:space="1701"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Mongolian Baiti">
    <w:altName w:val="DejaVu Math TeX Gyre"/>
    <w:panose1 w:val="03000500000000000000"/>
    <w:charset w:val="00"/>
    <w:family w:val="auto"/>
    <w:pitch w:val="default"/>
    <w:sig w:usb0="00000000" w:usb1="00000000" w:usb2="00020000" w:usb3="00000000" w:csb0="00000001" w:csb1="00000000"/>
  </w:font>
  <w:font w:name="等线">
    <w:altName w:val="宋体"/>
    <w:panose1 w:val="02010600030101010101"/>
    <w:charset w:val="86"/>
    <w:family w:val="auto"/>
    <w:pitch w:val="default"/>
    <w:sig w:usb0="00000000" w:usb1="00000000" w:usb2="00000016" w:usb3="00000000" w:csb0="0004000F" w:csb1="00000000"/>
  </w:font>
  <w:font w:name="方正仿宋_GBK">
    <w:panose1 w:val="02000000000000000000"/>
    <w:charset w:val="86"/>
    <w:family w:val="auto"/>
    <w:pitch w:val="default"/>
    <w:sig w:usb0="00000001" w:usb1="08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8"/>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6</w:t>
    </w:r>
    <w:r>
      <w:rPr>
        <w:rFonts w:ascii="宋体" w:hAnsi="宋体"/>
        <w:sz w:val="28"/>
        <w:szCs w:val="28"/>
      </w:rPr>
      <w:fldChar w:fldCharType="end"/>
    </w:r>
  </w:p>
  <w:p>
    <w:pPr>
      <w:pStyle w:val="18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trackRevisions w:val="true"/>
  <w:documentProtection w:enforcement="0"/>
  <w:defaultTabStop w:val="420"/>
  <w:displayHorizontalDrawingGridEvery w:val="1"/>
  <w:displayVerticalDrawingGridEvery w:val="1"/>
  <w:noPunctuationKerning w:val="true"/>
  <w:characterSpacingControl w:val="doNotCompress"/>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1MmViN2UwMjNjYjBkOTE5M2NkNWMxYjYwMjQ2NGEifQ=="/>
  </w:docVars>
  <w:rsids>
    <w:rsidRoot w:val="00000000"/>
    <w:rsid w:val="01703091"/>
    <w:rsid w:val="034C4115"/>
    <w:rsid w:val="05A46B86"/>
    <w:rsid w:val="068C109B"/>
    <w:rsid w:val="07DF08E4"/>
    <w:rsid w:val="0D0D0393"/>
    <w:rsid w:val="0EAC0AC2"/>
    <w:rsid w:val="0EE046FE"/>
    <w:rsid w:val="0FFA3C1C"/>
    <w:rsid w:val="10FE598E"/>
    <w:rsid w:val="14060195"/>
    <w:rsid w:val="16A336C7"/>
    <w:rsid w:val="1D2B44EF"/>
    <w:rsid w:val="1D7D76F0"/>
    <w:rsid w:val="1E1912B6"/>
    <w:rsid w:val="1FB542EA"/>
    <w:rsid w:val="20A52EFD"/>
    <w:rsid w:val="21127278"/>
    <w:rsid w:val="224B16F3"/>
    <w:rsid w:val="23543943"/>
    <w:rsid w:val="24FF7CC9"/>
    <w:rsid w:val="251F7F55"/>
    <w:rsid w:val="26125CDB"/>
    <w:rsid w:val="269840E0"/>
    <w:rsid w:val="26A41F2A"/>
    <w:rsid w:val="29DB3A61"/>
    <w:rsid w:val="2BAF38A6"/>
    <w:rsid w:val="326E6F46"/>
    <w:rsid w:val="363E4CB1"/>
    <w:rsid w:val="382F1DE3"/>
    <w:rsid w:val="38C74734"/>
    <w:rsid w:val="3AFF4F51"/>
    <w:rsid w:val="3B1B472C"/>
    <w:rsid w:val="3B3E498E"/>
    <w:rsid w:val="3B7F4E52"/>
    <w:rsid w:val="3C3C55D9"/>
    <w:rsid w:val="3DDF5D90"/>
    <w:rsid w:val="3E3F00B5"/>
    <w:rsid w:val="3E8166EF"/>
    <w:rsid w:val="3F4E2026"/>
    <w:rsid w:val="3F884860"/>
    <w:rsid w:val="3FEED833"/>
    <w:rsid w:val="4268496B"/>
    <w:rsid w:val="42D44CFB"/>
    <w:rsid w:val="45EE18DD"/>
    <w:rsid w:val="45F55107"/>
    <w:rsid w:val="46603513"/>
    <w:rsid w:val="46EE6A47"/>
    <w:rsid w:val="47282841"/>
    <w:rsid w:val="49C8030C"/>
    <w:rsid w:val="4EBA22C5"/>
    <w:rsid w:val="50314A22"/>
    <w:rsid w:val="505B4D5E"/>
    <w:rsid w:val="50FC4452"/>
    <w:rsid w:val="52AF1E0E"/>
    <w:rsid w:val="53F36365"/>
    <w:rsid w:val="54571244"/>
    <w:rsid w:val="56451AD7"/>
    <w:rsid w:val="564D4873"/>
    <w:rsid w:val="56C725FE"/>
    <w:rsid w:val="57671846"/>
    <w:rsid w:val="59BC5BC9"/>
    <w:rsid w:val="5A871E5A"/>
    <w:rsid w:val="5AB142C2"/>
    <w:rsid w:val="5AC35D7E"/>
    <w:rsid w:val="5B8A4683"/>
    <w:rsid w:val="5F6F70DA"/>
    <w:rsid w:val="60B50289"/>
    <w:rsid w:val="60F13B56"/>
    <w:rsid w:val="61D05B58"/>
    <w:rsid w:val="62B3249A"/>
    <w:rsid w:val="62BD2580"/>
    <w:rsid w:val="63B53257"/>
    <w:rsid w:val="65905D2A"/>
    <w:rsid w:val="65CC5549"/>
    <w:rsid w:val="67773196"/>
    <w:rsid w:val="68A039E7"/>
    <w:rsid w:val="6E2E7BEE"/>
    <w:rsid w:val="6EC52D39"/>
    <w:rsid w:val="6EEA5FC9"/>
    <w:rsid w:val="6F853281"/>
    <w:rsid w:val="6F981A0D"/>
    <w:rsid w:val="6FBE16E5"/>
    <w:rsid w:val="7091795E"/>
    <w:rsid w:val="71D074AE"/>
    <w:rsid w:val="71E17918"/>
    <w:rsid w:val="738526B4"/>
    <w:rsid w:val="73EE71C1"/>
    <w:rsid w:val="745F51EC"/>
    <w:rsid w:val="74C12866"/>
    <w:rsid w:val="75375BDB"/>
    <w:rsid w:val="762705FC"/>
    <w:rsid w:val="76B61368"/>
    <w:rsid w:val="77C33D3D"/>
    <w:rsid w:val="77D41D63"/>
    <w:rsid w:val="78ED034D"/>
    <w:rsid w:val="7A9E6C5F"/>
    <w:rsid w:val="7C0D078C"/>
    <w:rsid w:val="7CF404F4"/>
    <w:rsid w:val="7D2C3429"/>
    <w:rsid w:val="7DFDDCF2"/>
    <w:rsid w:val="7EEE7191"/>
    <w:rsid w:val="7F100E59"/>
    <w:rsid w:val="8BFE03CE"/>
    <w:rsid w:val="9E7EC19F"/>
    <w:rsid w:val="C17FD2A8"/>
    <w:rsid w:val="C9F515BB"/>
    <w:rsid w:val="E1F5CD6B"/>
    <w:rsid w:val="E8CFBE2F"/>
    <w:rsid w:val="EDFF4D56"/>
    <w:rsid w:val="EF5D0FAD"/>
    <w:rsid w:val="FDDB35B3"/>
    <w:rsid w:val="FEFE41BA"/>
    <w:rsid w:val="FFBF2E9A"/>
    <w:rsid w:val="FFFF9D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83"/>
    <w:qFormat/>
    <w:uiPriority w:val="0"/>
    <w:pPr>
      <w:widowControl w:val="0"/>
      <w:jc w:val="both"/>
    </w:pPr>
    <w:rPr>
      <w:rFonts w:hint="default" w:ascii="Calibri" w:hAnsi="Calibri" w:eastAsia="宋体" w:cs="Mongolian Baiti"/>
      <w:sz w:val="21"/>
      <w:szCs w:val="22"/>
      <w:lang w:val="en-US" w:eastAsia="zh-CN" w:bidi="ar-SA"/>
    </w:rPr>
  </w:style>
  <w:style w:type="paragraph" w:styleId="2">
    <w:name w:val="heading 1"/>
    <w:basedOn w:val="1"/>
    <w:next w:val="1"/>
    <w:link w:val="195"/>
    <w:qFormat/>
    <w:uiPriority w:val="9"/>
    <w:pPr>
      <w:keepNext/>
      <w:keepLines/>
      <w:spacing w:before="480" w:after="200"/>
      <w:outlineLvl w:val="0"/>
    </w:pPr>
    <w:rPr>
      <w:rFonts w:ascii="等线" w:hAnsi="等线" w:eastAsia="等线" w:cs="等线"/>
      <w:sz w:val="40"/>
      <w:szCs w:val="40"/>
    </w:rPr>
  </w:style>
  <w:style w:type="paragraph" w:styleId="3">
    <w:name w:val="heading 2"/>
    <w:basedOn w:val="1"/>
    <w:next w:val="1"/>
    <w:link w:val="36"/>
    <w:unhideWhenUsed/>
    <w:qFormat/>
    <w:uiPriority w:val="9"/>
    <w:pPr>
      <w:keepNext/>
      <w:keepLines/>
      <w:spacing w:before="360" w:after="200"/>
      <w:outlineLvl w:val="1"/>
    </w:pPr>
    <w:rPr>
      <w:rFonts w:ascii="等线" w:hAnsi="等线" w:eastAsia="等线" w:cs="等线"/>
      <w:sz w:val="34"/>
    </w:rPr>
  </w:style>
  <w:style w:type="paragraph" w:styleId="4">
    <w:name w:val="heading 3"/>
    <w:basedOn w:val="1"/>
    <w:next w:val="1"/>
    <w:link w:val="37"/>
    <w:unhideWhenUsed/>
    <w:qFormat/>
    <w:uiPriority w:val="9"/>
    <w:pPr>
      <w:keepNext/>
      <w:keepLines/>
      <w:spacing w:before="320" w:after="200"/>
      <w:outlineLvl w:val="2"/>
    </w:pPr>
    <w:rPr>
      <w:rFonts w:ascii="等线" w:hAnsi="等线" w:eastAsia="等线" w:cs="等线"/>
      <w:sz w:val="30"/>
      <w:szCs w:val="30"/>
    </w:rPr>
  </w:style>
  <w:style w:type="paragraph" w:styleId="5">
    <w:name w:val="heading 4"/>
    <w:basedOn w:val="1"/>
    <w:next w:val="1"/>
    <w:link w:val="38"/>
    <w:unhideWhenUsed/>
    <w:qFormat/>
    <w:uiPriority w:val="9"/>
    <w:pPr>
      <w:keepNext/>
      <w:keepLines/>
      <w:spacing w:before="320" w:after="200"/>
      <w:outlineLvl w:val="3"/>
    </w:pPr>
    <w:rPr>
      <w:rFonts w:ascii="等线" w:hAnsi="等线" w:eastAsia="等线" w:cs="等线"/>
      <w:b/>
      <w:bCs/>
      <w:sz w:val="26"/>
      <w:szCs w:val="26"/>
    </w:rPr>
  </w:style>
  <w:style w:type="paragraph" w:styleId="6">
    <w:name w:val="heading 5"/>
    <w:basedOn w:val="1"/>
    <w:next w:val="1"/>
    <w:link w:val="39"/>
    <w:unhideWhenUsed/>
    <w:qFormat/>
    <w:uiPriority w:val="9"/>
    <w:pPr>
      <w:keepNext/>
      <w:keepLines/>
      <w:spacing w:before="320" w:after="200"/>
      <w:outlineLvl w:val="4"/>
    </w:pPr>
    <w:rPr>
      <w:rFonts w:ascii="等线" w:hAnsi="等线" w:eastAsia="等线" w:cs="等线"/>
      <w:b/>
      <w:bCs/>
      <w:sz w:val="24"/>
      <w:szCs w:val="24"/>
    </w:rPr>
  </w:style>
  <w:style w:type="paragraph" w:styleId="7">
    <w:name w:val="heading 6"/>
    <w:basedOn w:val="1"/>
    <w:next w:val="1"/>
    <w:link w:val="40"/>
    <w:unhideWhenUsed/>
    <w:qFormat/>
    <w:uiPriority w:val="9"/>
    <w:pPr>
      <w:keepNext/>
      <w:keepLines/>
      <w:spacing w:before="320" w:after="200"/>
      <w:outlineLvl w:val="5"/>
    </w:pPr>
    <w:rPr>
      <w:rFonts w:ascii="等线" w:hAnsi="等线" w:eastAsia="等线" w:cs="等线"/>
      <w:b/>
      <w:bCs/>
      <w:sz w:val="22"/>
      <w:szCs w:val="22"/>
    </w:rPr>
  </w:style>
  <w:style w:type="paragraph" w:styleId="8">
    <w:name w:val="heading 7"/>
    <w:basedOn w:val="1"/>
    <w:next w:val="1"/>
    <w:link w:val="41"/>
    <w:unhideWhenUsed/>
    <w:qFormat/>
    <w:uiPriority w:val="9"/>
    <w:pPr>
      <w:keepNext/>
      <w:keepLines/>
      <w:spacing w:before="320" w:after="200"/>
      <w:outlineLvl w:val="6"/>
    </w:pPr>
    <w:rPr>
      <w:rFonts w:ascii="等线" w:hAnsi="等线" w:eastAsia="等线" w:cs="等线"/>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等线" w:hAnsi="等线" w:eastAsia="等线" w:cs="等线"/>
      <w:i/>
      <w:iCs/>
      <w:sz w:val="22"/>
      <w:szCs w:val="22"/>
    </w:rPr>
  </w:style>
  <w:style w:type="paragraph" w:styleId="10">
    <w:name w:val="heading 9"/>
    <w:basedOn w:val="1"/>
    <w:next w:val="1"/>
    <w:link w:val="43"/>
    <w:unhideWhenUsed/>
    <w:qFormat/>
    <w:uiPriority w:val="9"/>
    <w:pPr>
      <w:keepNext/>
      <w:keepLines/>
      <w:spacing w:before="320" w:after="200"/>
      <w:outlineLvl w:val="8"/>
    </w:pPr>
    <w:rPr>
      <w:rFonts w:ascii="等线" w:hAnsi="等线" w:eastAsia="等线" w:cs="等线"/>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等线" w:hAnsi="等线" w:eastAsia="等线" w:cs="等线"/>
      <w:sz w:val="40"/>
      <w:szCs w:val="40"/>
    </w:rPr>
  </w:style>
  <w:style w:type="character" w:customStyle="1" w:styleId="36">
    <w:name w:val="Heading 2 Char"/>
    <w:link w:val="3"/>
    <w:qFormat/>
    <w:uiPriority w:val="9"/>
    <w:rPr>
      <w:rFonts w:ascii="等线" w:hAnsi="等线" w:eastAsia="等线" w:cs="等线"/>
      <w:sz w:val="34"/>
    </w:rPr>
  </w:style>
  <w:style w:type="character" w:customStyle="1" w:styleId="37">
    <w:name w:val="Heading 3 Char"/>
    <w:link w:val="4"/>
    <w:qFormat/>
    <w:uiPriority w:val="9"/>
    <w:rPr>
      <w:rFonts w:ascii="等线" w:hAnsi="等线" w:eastAsia="等线" w:cs="等线"/>
      <w:sz w:val="30"/>
      <w:szCs w:val="30"/>
    </w:rPr>
  </w:style>
  <w:style w:type="character" w:customStyle="1" w:styleId="38">
    <w:name w:val="Heading 4 Char"/>
    <w:link w:val="5"/>
    <w:qFormat/>
    <w:uiPriority w:val="9"/>
    <w:rPr>
      <w:rFonts w:ascii="等线" w:hAnsi="等线" w:eastAsia="等线" w:cs="等线"/>
      <w:b/>
      <w:bCs/>
      <w:sz w:val="26"/>
      <w:szCs w:val="26"/>
    </w:rPr>
  </w:style>
  <w:style w:type="character" w:customStyle="1" w:styleId="39">
    <w:name w:val="Heading 5 Char"/>
    <w:link w:val="6"/>
    <w:qFormat/>
    <w:uiPriority w:val="9"/>
    <w:rPr>
      <w:rFonts w:ascii="等线" w:hAnsi="等线" w:eastAsia="等线" w:cs="等线"/>
      <w:b/>
      <w:bCs/>
      <w:sz w:val="24"/>
      <w:szCs w:val="24"/>
    </w:rPr>
  </w:style>
  <w:style w:type="character" w:customStyle="1" w:styleId="40">
    <w:name w:val="Heading 6 Char"/>
    <w:link w:val="7"/>
    <w:qFormat/>
    <w:uiPriority w:val="9"/>
    <w:rPr>
      <w:rFonts w:ascii="等线" w:hAnsi="等线" w:eastAsia="等线" w:cs="等线"/>
      <w:b/>
      <w:bCs/>
      <w:sz w:val="22"/>
      <w:szCs w:val="22"/>
    </w:rPr>
  </w:style>
  <w:style w:type="character" w:customStyle="1" w:styleId="41">
    <w:name w:val="Heading 7 Char"/>
    <w:link w:val="8"/>
    <w:qFormat/>
    <w:uiPriority w:val="9"/>
    <w:rPr>
      <w:rFonts w:ascii="等线" w:hAnsi="等线" w:eastAsia="等线" w:cs="等线"/>
      <w:b/>
      <w:bCs/>
      <w:i/>
      <w:iCs/>
      <w:sz w:val="22"/>
      <w:szCs w:val="22"/>
    </w:rPr>
  </w:style>
  <w:style w:type="character" w:customStyle="1" w:styleId="42">
    <w:name w:val="Heading 8 Char"/>
    <w:link w:val="9"/>
    <w:qFormat/>
    <w:uiPriority w:val="9"/>
    <w:rPr>
      <w:rFonts w:ascii="等线" w:hAnsi="等线" w:eastAsia="等线" w:cs="等线"/>
      <w:i/>
      <w:iCs/>
      <w:sz w:val="22"/>
      <w:szCs w:val="22"/>
    </w:rPr>
  </w:style>
  <w:style w:type="character" w:customStyle="1" w:styleId="43">
    <w:name w:val="Heading 9 Char"/>
    <w:link w:val="10"/>
    <w:qFormat/>
    <w:uiPriority w:val="9"/>
    <w:rPr>
      <w:rFonts w:ascii="等线" w:hAnsi="等线" w:eastAsia="等线" w:cs="等线"/>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character" w:customStyle="1" w:styleId="183">
    <w:name w:val="默认段落字体1"/>
    <w:link w:val="1"/>
    <w:unhideWhenUsed/>
    <w:qFormat/>
    <w:uiPriority w:val="1"/>
  </w:style>
  <w:style w:type="table" w:customStyle="1" w:styleId="184">
    <w:name w:val="普通表格1"/>
    <w:unhideWhenUsed/>
    <w:qFormat/>
    <w:uiPriority w:val="99"/>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185">
    <w:name w:val="正文缩进1"/>
    <w:basedOn w:val="1"/>
    <w:link w:val="186"/>
    <w:qFormat/>
    <w:uiPriority w:val="0"/>
    <w:pPr>
      <w:ind w:firstLine="420"/>
    </w:pPr>
    <w:rPr>
      <w:rFonts w:ascii="Calibri" w:hAnsi="Calibri" w:eastAsia="宋体" w:cs="Times New Roman"/>
      <w:szCs w:val="24"/>
    </w:rPr>
  </w:style>
  <w:style w:type="character" w:customStyle="1" w:styleId="186">
    <w:name w:val="正文缩进 字符"/>
    <w:link w:val="185"/>
    <w:qFormat/>
    <w:uiPriority w:val="0"/>
    <w:rPr>
      <w:rFonts w:ascii="Calibri" w:hAnsi="Calibri" w:eastAsia="宋体" w:cs="Times New Roman"/>
      <w:szCs w:val="24"/>
    </w:rPr>
  </w:style>
  <w:style w:type="paragraph" w:customStyle="1" w:styleId="187">
    <w:name w:val="批注框文本1"/>
    <w:basedOn w:val="1"/>
    <w:unhideWhenUsed/>
    <w:qFormat/>
    <w:uiPriority w:val="99"/>
    <w:rPr>
      <w:sz w:val="18"/>
      <w:szCs w:val="18"/>
    </w:rPr>
  </w:style>
  <w:style w:type="paragraph" w:customStyle="1" w:styleId="188">
    <w:name w:val="页脚1"/>
    <w:basedOn w:val="1"/>
    <w:link w:val="189"/>
    <w:unhideWhenUsed/>
    <w:qFormat/>
    <w:uiPriority w:val="99"/>
    <w:pPr>
      <w:tabs>
        <w:tab w:val="center" w:pos="4153"/>
        <w:tab w:val="right" w:pos="8306"/>
      </w:tabs>
      <w:jc w:val="left"/>
    </w:pPr>
    <w:rPr>
      <w:sz w:val="18"/>
      <w:szCs w:val="18"/>
    </w:rPr>
  </w:style>
  <w:style w:type="character" w:customStyle="1" w:styleId="189">
    <w:name w:val="页脚 字符"/>
    <w:basedOn w:val="183"/>
    <w:link w:val="188"/>
    <w:qFormat/>
    <w:uiPriority w:val="99"/>
    <w:rPr>
      <w:sz w:val="18"/>
      <w:szCs w:val="18"/>
    </w:rPr>
  </w:style>
  <w:style w:type="paragraph" w:customStyle="1" w:styleId="190">
    <w:name w:val="页眉1"/>
    <w:basedOn w:val="1"/>
    <w:link w:val="191"/>
    <w:unhideWhenUsed/>
    <w:qFormat/>
    <w:uiPriority w:val="99"/>
    <w:pPr>
      <w:pBdr>
        <w:bottom w:val="single" w:color="000000" w:sz="6" w:space="1"/>
      </w:pBdr>
      <w:tabs>
        <w:tab w:val="center" w:pos="4153"/>
        <w:tab w:val="right" w:pos="8306"/>
      </w:tabs>
      <w:jc w:val="center"/>
    </w:pPr>
    <w:rPr>
      <w:sz w:val="18"/>
      <w:szCs w:val="18"/>
    </w:rPr>
  </w:style>
  <w:style w:type="character" w:customStyle="1" w:styleId="191">
    <w:name w:val="页眉 字符"/>
    <w:basedOn w:val="183"/>
    <w:link w:val="190"/>
    <w:qFormat/>
    <w:uiPriority w:val="99"/>
    <w:rPr>
      <w:sz w:val="18"/>
      <w:szCs w:val="18"/>
    </w:rPr>
  </w:style>
  <w:style w:type="paragraph" w:customStyle="1" w:styleId="192">
    <w:name w:val="Default"/>
    <w:qFormat/>
    <w:uiPriority w:val="0"/>
    <w:pPr>
      <w:widowControl w:val="0"/>
    </w:pPr>
    <w:rPr>
      <w:rFonts w:hint="eastAsia" w:ascii="方正仿宋_GBK" w:hAnsi="方正仿宋_GBK" w:eastAsia="方正仿宋_GBK" w:cs="Times New Roman"/>
      <w:color w:val="000000"/>
      <w:sz w:val="24"/>
      <w:szCs w:val="22"/>
      <w:lang w:val="en-US" w:eastAsia="zh-CN" w:bidi="ar-SA"/>
    </w:rPr>
  </w:style>
  <w:style w:type="paragraph" w:customStyle="1" w:styleId="193">
    <w:name w:val="Revision"/>
    <w:semiHidden/>
    <w:qFormat/>
    <w:uiPriority w:val="99"/>
    <w:rPr>
      <w:rFonts w:hint="default" w:ascii="Calibri" w:hAnsi="Calibri" w:eastAsia="宋体" w:cs="Mongolian Baiti"/>
      <w:sz w:val="21"/>
      <w:szCs w:val="22"/>
      <w:lang w:val="en-US" w:eastAsia="zh-CN" w:bidi="ar-SA"/>
    </w:rPr>
  </w:style>
  <w:style w:type="paragraph" w:customStyle="1" w:styleId="194">
    <w:name w:val="Normal Indent1"/>
    <w:basedOn w:val="1"/>
    <w:qFormat/>
    <w:uiPriority w:val="0"/>
    <w:pPr>
      <w:spacing w:line="440" w:lineRule="exact"/>
      <w:ind w:firstLine="480"/>
    </w:pPr>
    <w:rPr>
      <w:rFonts w:ascii="Times New Roman" w:hAnsi="Times New Roman" w:eastAsia="宋体" w:cs="Times New Roman"/>
    </w:rPr>
  </w:style>
  <w:style w:type="character" w:customStyle="1" w:styleId="195">
    <w:name w:val="标题 1 Char"/>
    <w:link w:val="2"/>
    <w:qFormat/>
    <w:uiPriority w:val="9"/>
    <w:rPr>
      <w:rFonts w:eastAsia="宋体"/>
      <w:b/>
      <w:bCs/>
      <w:kern w:val="44"/>
      <w:sz w:val="28"/>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Pages>
  <Words>2414</Words>
  <Characters>2433</Characters>
  <TotalTime>3</TotalTime>
  <ScaleCrop>false</ScaleCrop>
  <LinksUpToDate>false</LinksUpToDate>
  <CharactersWithSpaces>2433</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2023-06-27T20:48:00Z</dcterms:created>
  <dc:creator>P</dc:creator>
  <cp:lastModifiedBy>荆志超</cp:lastModifiedBy>
  <cp:lastPrinted>2024-11-14T16:07:00Z</cp:lastPrinted>
  <dcterms:modified xsi:type="dcterms:W3CDTF">2025-01-03T14:53:46Z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14AC43A2378D493F9624F1B1AAECADA7_13</vt:lpwstr>
  </property>
</Properties>
</file>